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F6" w:rsidRPr="0044348C" w:rsidRDefault="002B6862" w:rsidP="0044348C">
      <w:pPr>
        <w:jc w:val="both"/>
        <w:rPr>
          <w:sz w:val="24"/>
          <w:szCs w:val="24"/>
        </w:rPr>
      </w:pPr>
    </w:p>
    <w:p w:rsidR="00E96AA6" w:rsidRPr="0044348C" w:rsidRDefault="00E96AA6" w:rsidP="0044348C">
      <w:pPr>
        <w:jc w:val="both"/>
        <w:rPr>
          <w:sz w:val="24"/>
          <w:szCs w:val="24"/>
        </w:rPr>
      </w:pPr>
    </w:p>
    <w:p w:rsidR="00E96AA6" w:rsidRPr="0044348C" w:rsidRDefault="00E96AA6" w:rsidP="0044348C">
      <w:pPr>
        <w:jc w:val="both"/>
        <w:rPr>
          <w:sz w:val="24"/>
          <w:szCs w:val="24"/>
        </w:rPr>
      </w:pPr>
    </w:p>
    <w:p w:rsidR="00E96AA6" w:rsidRPr="0044348C" w:rsidRDefault="0044348C" w:rsidP="0044348C">
      <w:pPr>
        <w:jc w:val="both"/>
        <w:rPr>
          <w:sz w:val="24"/>
          <w:szCs w:val="24"/>
        </w:rPr>
      </w:pPr>
      <w:r w:rsidRPr="0044348C">
        <w:rPr>
          <w:sz w:val="24"/>
          <w:szCs w:val="24"/>
        </w:rPr>
        <w:t>Buenos días</w:t>
      </w:r>
      <w:r w:rsidR="0009522A">
        <w:rPr>
          <w:sz w:val="24"/>
          <w:szCs w:val="24"/>
        </w:rPr>
        <w:t xml:space="preserve">, </w:t>
      </w:r>
    </w:p>
    <w:p w:rsidR="0044348C" w:rsidRDefault="0044348C" w:rsidP="0009522A">
      <w:pPr>
        <w:pStyle w:val="NormalWeb"/>
        <w:jc w:val="both"/>
        <w:rPr>
          <w:rFonts w:cs="Arial"/>
        </w:rPr>
      </w:pPr>
      <w:r w:rsidRPr="0044348C">
        <w:t>La Gobernación Norte de Santander a través de la Secretaría General da la Bienvenida a lo</w:t>
      </w:r>
      <w:r w:rsidR="0009522A">
        <w:t xml:space="preserve">s jurados </w:t>
      </w:r>
      <w:r w:rsidRPr="0044348C">
        <w:t xml:space="preserve"> (</w:t>
      </w:r>
      <w:r w:rsidRPr="0044348C">
        <w:rPr>
          <w:color w:val="000000"/>
        </w:rPr>
        <w:t>Jairo Bejarano de la Dirección de Gestión del Conocimiento y la In</w:t>
      </w:r>
      <w:r w:rsidR="00C21727">
        <w:rPr>
          <w:color w:val="000000"/>
        </w:rPr>
        <w:t>no</w:t>
      </w:r>
      <w:r w:rsidRPr="0044348C">
        <w:rPr>
          <w:color w:val="000000"/>
        </w:rPr>
        <w:t>vaci</w:t>
      </w:r>
      <w:r w:rsidR="00C21727">
        <w:rPr>
          <w:color w:val="000000"/>
        </w:rPr>
        <w:t>ó</w:t>
      </w:r>
      <w:r w:rsidRPr="0044348C">
        <w:rPr>
          <w:color w:val="000000"/>
        </w:rPr>
        <w:t xml:space="preserve">n – </w:t>
      </w:r>
      <w:r w:rsidR="0058768E">
        <w:rPr>
          <w:color w:val="000000"/>
        </w:rPr>
        <w:t xml:space="preserve">Departamento Administrativo de la Función </w:t>
      </w:r>
      <w:proofErr w:type="gramStart"/>
      <w:r w:rsidR="00C21727">
        <w:rPr>
          <w:color w:val="000000"/>
        </w:rPr>
        <w:t>Pública</w:t>
      </w:r>
      <w:r w:rsidR="0058768E">
        <w:rPr>
          <w:color w:val="000000"/>
        </w:rPr>
        <w:t xml:space="preserve"> </w:t>
      </w:r>
      <w:r w:rsidRPr="0044348C">
        <w:rPr>
          <w:color w:val="000000"/>
        </w:rPr>
        <w:t>;</w:t>
      </w:r>
      <w:proofErr w:type="gramEnd"/>
      <w:r w:rsidRPr="0044348C">
        <w:rPr>
          <w:color w:val="000000"/>
        </w:rPr>
        <w:t xml:space="preserve">  José Luis Ramirez - Directo de la Escuela de Participación;  José Luis Prospecta – Escuela de Participación Ciudadan</w:t>
      </w:r>
      <w:r>
        <w:rPr>
          <w:color w:val="000000"/>
        </w:rPr>
        <w:t>a y Dr</w:t>
      </w:r>
      <w:r w:rsidR="00C21727">
        <w:rPr>
          <w:color w:val="000000"/>
        </w:rPr>
        <w:t>a.</w:t>
      </w:r>
      <w:r>
        <w:rPr>
          <w:color w:val="000000"/>
        </w:rPr>
        <w:t xml:space="preserve"> Sonia Jhoana Muñoz </w:t>
      </w:r>
      <w:r w:rsidR="0058768E">
        <w:rPr>
          <w:color w:val="000000"/>
        </w:rPr>
        <w:t xml:space="preserve">- Departamento Administrativo de la Función </w:t>
      </w:r>
      <w:r w:rsidR="00C21727">
        <w:rPr>
          <w:color w:val="000000"/>
        </w:rPr>
        <w:t xml:space="preserve">Pública </w:t>
      </w:r>
      <w:r>
        <w:rPr>
          <w:color w:val="000000"/>
        </w:rPr>
        <w:t>)</w:t>
      </w:r>
      <w:r w:rsidR="0009522A">
        <w:rPr>
          <w:color w:val="000000"/>
        </w:rPr>
        <w:t xml:space="preserve"> y </w:t>
      </w:r>
      <w:r w:rsidRPr="0044348C">
        <w:t>damos</w:t>
      </w:r>
      <w:r w:rsidR="0009522A">
        <w:t xml:space="preserve"> agradecimiento a las Dependencia </w:t>
      </w:r>
      <w:r w:rsidRPr="0044348C">
        <w:t xml:space="preserve"> participantes: </w:t>
      </w:r>
      <w:r w:rsidR="0009522A">
        <w:rPr>
          <w:rFonts w:cs="Arial"/>
        </w:rPr>
        <w:t xml:space="preserve">Sergio Andrés Entrena Fernández– Secretario de Hacienda; Olger Alberto López Vergel -  Secretario de Agricultura y Desarrollo Rural;  Sergio Hernando Vega Duarte – Secretario de Gestión Minero energética Sostenible, Francisco Alberto Bermont Galvis – Secretario de Agua Potable y Saneamiento Básico; Piedad Soraya Torres Ramirez – Secretaria de Desarrollo Social; Ludy Páez Ortega - Secretaria de Educación,; Ana Graciela Ortiz Torres - Secretaria de Cultura; Sandra Yaneth Quintero – Profesional Especializado Área Talento Humano; Víctor Jhoel Bustos Urbano – Secretario de Medio Ambiente, Recursos Naturales y Sostenibilidad; </w:t>
      </w:r>
      <w:proofErr w:type="spellStart"/>
      <w:r w:rsidR="0009522A">
        <w:rPr>
          <w:rFonts w:cs="Arial"/>
        </w:rPr>
        <w:t>Nestor</w:t>
      </w:r>
      <w:proofErr w:type="spellEnd"/>
      <w:r w:rsidR="0009522A">
        <w:rPr>
          <w:rFonts w:cs="Arial"/>
        </w:rPr>
        <w:t xml:space="preserve"> Rojas - Secretario de Tránsito; Luis Javier Chávez </w:t>
      </w:r>
      <w:proofErr w:type="spellStart"/>
      <w:r w:rsidR="0009522A">
        <w:rPr>
          <w:rFonts w:cs="Arial"/>
        </w:rPr>
        <w:t>Calsada</w:t>
      </w:r>
      <w:proofErr w:type="spellEnd"/>
      <w:r w:rsidR="0009522A">
        <w:rPr>
          <w:rFonts w:cs="Arial"/>
        </w:rPr>
        <w:t xml:space="preserve"> – Secretario de Desarrollo Económico y Productividad; </w:t>
      </w:r>
      <w:r w:rsidR="0009522A" w:rsidRPr="00EA41DE">
        <w:rPr>
          <w:rFonts w:cs="Arial"/>
        </w:rPr>
        <w:t>Consejería de Agenciamiento para el Desarrollo para el Desarrollo Turístico</w:t>
      </w:r>
      <w:r w:rsidR="0009522A">
        <w:rPr>
          <w:rFonts w:cs="Arial"/>
        </w:rPr>
        <w:t>;  Zulay Ezneda Cañas Luna – Secretaria Privada</w:t>
      </w:r>
      <w:r w:rsidR="0009522A">
        <w:rPr>
          <w:rFonts w:cs="Arial"/>
          <w:color w:val="000000"/>
          <w:sz w:val="22"/>
          <w:szCs w:val="22"/>
        </w:rPr>
        <w:t xml:space="preserve">;  </w:t>
      </w:r>
      <w:r w:rsidR="0009522A" w:rsidRPr="00EA41DE">
        <w:rPr>
          <w:rFonts w:cs="Arial"/>
        </w:rPr>
        <w:t>Adriana Toro Torres -  Agencia para la Competitividad, Productividad y Comercio Exterior</w:t>
      </w:r>
      <w:r w:rsidR="0009522A">
        <w:rPr>
          <w:rFonts w:cs="Arial"/>
        </w:rPr>
        <w:t>; Marlon Andrés Meneses Pérez – Secretario de las Tecnología de la Información  y las Comunicaciones.</w:t>
      </w:r>
    </w:p>
    <w:p w:rsidR="0009522A" w:rsidRDefault="0009522A" w:rsidP="0009522A">
      <w:pPr>
        <w:pStyle w:val="NormalWeb"/>
        <w:jc w:val="both"/>
        <w:rPr>
          <w:rFonts w:cs="Arial"/>
        </w:rPr>
      </w:pPr>
      <w:r>
        <w:rPr>
          <w:rFonts w:cs="Arial"/>
        </w:rPr>
        <w:t xml:space="preserve">El propósito de la Feria de la Buenas Prácticas de la Gobernación Norte de Santander, es conformar por primera vez el Banco de éxito de la entidad </w:t>
      </w:r>
      <w:r w:rsidR="00D805D0">
        <w:rPr>
          <w:rFonts w:cs="Arial"/>
        </w:rPr>
        <w:t xml:space="preserve">(repositorio de información de la entidad, que estará publicada en la web Gestión de Talento Humano) </w:t>
      </w:r>
      <w:r>
        <w:rPr>
          <w:rFonts w:cs="Arial"/>
        </w:rPr>
        <w:t xml:space="preserve">y </w:t>
      </w:r>
      <w:r w:rsidR="0058768E">
        <w:rPr>
          <w:rFonts w:cs="Arial"/>
        </w:rPr>
        <w:t xml:space="preserve">vivir </w:t>
      </w:r>
      <w:r w:rsidR="00D805D0">
        <w:rPr>
          <w:rFonts w:cs="Arial"/>
        </w:rPr>
        <w:t xml:space="preserve">un </w:t>
      </w:r>
      <w:r w:rsidR="0058768E">
        <w:rPr>
          <w:rFonts w:cs="Arial"/>
        </w:rPr>
        <w:t>espacio de ideación</w:t>
      </w:r>
      <w:r w:rsidR="00D805D0">
        <w:rPr>
          <w:rFonts w:cs="Arial"/>
        </w:rPr>
        <w:t xml:space="preserve"> de compartir de saberes, </w:t>
      </w:r>
      <w:r>
        <w:rPr>
          <w:rFonts w:cs="Arial"/>
        </w:rPr>
        <w:t xml:space="preserve">que </w:t>
      </w:r>
      <w:r w:rsidR="0058768E">
        <w:rPr>
          <w:rFonts w:cs="Arial"/>
        </w:rPr>
        <w:t>fortalece</w:t>
      </w:r>
      <w:r>
        <w:rPr>
          <w:rFonts w:cs="Arial"/>
        </w:rPr>
        <w:t xml:space="preserve"> la </w:t>
      </w:r>
      <w:r w:rsidR="0058768E">
        <w:rPr>
          <w:rFonts w:cs="Arial"/>
        </w:rPr>
        <w:t>P</w:t>
      </w:r>
      <w:r>
        <w:rPr>
          <w:rFonts w:cs="Arial"/>
        </w:rPr>
        <w:t xml:space="preserve">olítica </w:t>
      </w:r>
      <w:r w:rsidR="0058768E">
        <w:rPr>
          <w:rFonts w:cs="Arial"/>
        </w:rPr>
        <w:t>de Gestión del Conocimiento y la I</w:t>
      </w:r>
      <w:r w:rsidR="00D805D0">
        <w:rPr>
          <w:rFonts w:cs="Arial"/>
        </w:rPr>
        <w:t>nnovación en la vigencia 2022</w:t>
      </w:r>
      <w:r w:rsidR="00E83FC6">
        <w:rPr>
          <w:rFonts w:cs="Arial"/>
        </w:rPr>
        <w:t xml:space="preserve">. </w:t>
      </w:r>
    </w:p>
    <w:p w:rsidR="009D4C51" w:rsidRDefault="009D4C51" w:rsidP="0009522A">
      <w:pPr>
        <w:pStyle w:val="NormalWeb"/>
        <w:jc w:val="both"/>
        <w:rPr>
          <w:rFonts w:cs="Arial"/>
        </w:rPr>
      </w:pPr>
      <w:r>
        <w:rPr>
          <w:rFonts w:cs="Arial"/>
        </w:rPr>
        <w:t xml:space="preserve">Este evento se derivó debido al éxito de la buena práctica de Arquitectura empresarial de las Secretaría de las Tecnología de la Información y las Comunicaciones, Secretaría de Planeación y Gestión Documental Dependencia Secretaría General de la Gobernación Norte de Santander. </w:t>
      </w:r>
    </w:p>
    <w:p w:rsidR="00D805D0" w:rsidRDefault="00D805D0" w:rsidP="0009522A">
      <w:pPr>
        <w:pStyle w:val="NormalWeb"/>
        <w:jc w:val="both"/>
        <w:rPr>
          <w:rFonts w:cs="Arial"/>
        </w:rPr>
      </w:pPr>
      <w:r>
        <w:rPr>
          <w:rFonts w:cs="Arial"/>
        </w:rPr>
        <w:t xml:space="preserve">Felicito a las Dependencias de la Gobernación Norte de Santander, que asumieron este importante reto. </w:t>
      </w:r>
    </w:p>
    <w:p w:rsidR="00C21727" w:rsidRDefault="00C21727" w:rsidP="0009522A">
      <w:pPr>
        <w:pStyle w:val="NormalWeb"/>
        <w:jc w:val="both"/>
        <w:rPr>
          <w:rFonts w:cs="Arial"/>
        </w:rPr>
      </w:pPr>
      <w:r>
        <w:rPr>
          <w:rFonts w:cs="Arial"/>
        </w:rPr>
        <w:t xml:space="preserve">Éxitos </w:t>
      </w:r>
    </w:p>
    <w:p w:rsidR="00AE3FD5" w:rsidRDefault="00AE3FD5" w:rsidP="0009522A">
      <w:pPr>
        <w:pStyle w:val="NormalWeb"/>
        <w:jc w:val="both"/>
        <w:rPr>
          <w:rFonts w:cs="Arial"/>
        </w:rPr>
      </w:pPr>
    </w:p>
    <w:p w:rsidR="00AE3FD5" w:rsidRDefault="00AE3FD5" w:rsidP="0009522A">
      <w:pPr>
        <w:pStyle w:val="NormalWeb"/>
        <w:jc w:val="both"/>
        <w:rPr>
          <w:rFonts w:cs="Arial"/>
        </w:rPr>
      </w:pPr>
    </w:p>
    <w:p w:rsidR="00C21727" w:rsidRDefault="00C21727" w:rsidP="0009522A">
      <w:pPr>
        <w:pStyle w:val="NormalWeb"/>
        <w:jc w:val="both"/>
        <w:rPr>
          <w:rFonts w:cs="Arial"/>
        </w:rPr>
      </w:pPr>
    </w:p>
    <w:p w:rsidR="00AE3FD5" w:rsidRDefault="00AE3FD5" w:rsidP="0009522A">
      <w:pPr>
        <w:pStyle w:val="NormalWeb"/>
        <w:jc w:val="both"/>
        <w:rPr>
          <w:rFonts w:cs="Arial"/>
        </w:rPr>
      </w:pPr>
      <w:r>
        <w:rPr>
          <w:rFonts w:cs="Arial"/>
        </w:rPr>
        <w:t>Dependencias Participantes</w:t>
      </w:r>
    </w:p>
    <w:tbl>
      <w:tblPr>
        <w:tblpPr w:leftFromText="141" w:rightFromText="141" w:vertAnchor="text" w:tblpY="1"/>
        <w:tblOverlap w:val="never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6"/>
        <w:gridCol w:w="4961"/>
      </w:tblGrid>
      <w:tr w:rsidR="00C21727" w:rsidRPr="00C17C5D" w:rsidTr="002F3F46">
        <w:trPr>
          <w:trHeight w:val="688"/>
        </w:trPr>
        <w:tc>
          <w:tcPr>
            <w:tcW w:w="3256" w:type="dxa"/>
            <w:shd w:val="clear" w:color="auto" w:fill="auto"/>
          </w:tcPr>
          <w:p w:rsidR="00C21727" w:rsidRPr="00F42CFE" w:rsidRDefault="00C21727" w:rsidP="00B76A8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42CF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Dependencia</w:t>
            </w:r>
          </w:p>
        </w:tc>
        <w:tc>
          <w:tcPr>
            <w:tcW w:w="4961" w:type="dxa"/>
            <w:shd w:val="clear" w:color="auto" w:fill="auto"/>
          </w:tcPr>
          <w:p w:rsidR="00C21727" w:rsidRPr="00F42CFE" w:rsidRDefault="00C21727" w:rsidP="00B76A8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42CFE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Nombre de la buena práctica</w:t>
            </w:r>
          </w:p>
        </w:tc>
      </w:tr>
      <w:tr w:rsidR="00C21727" w:rsidRPr="00C17C5D" w:rsidTr="002F3F46">
        <w:trPr>
          <w:trHeight w:val="688"/>
        </w:trPr>
        <w:tc>
          <w:tcPr>
            <w:tcW w:w="3256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sz w:val="16"/>
                <w:szCs w:val="16"/>
              </w:rPr>
              <w:t>Secretaría de Tecnología de la Información y las Comunicaciones</w:t>
            </w:r>
          </w:p>
        </w:tc>
        <w:tc>
          <w:tcPr>
            <w:tcW w:w="4961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>Arquitectura Empresarial</w:t>
            </w:r>
          </w:p>
        </w:tc>
      </w:tr>
      <w:tr w:rsidR="00C21727" w:rsidRPr="00C17C5D" w:rsidTr="002F3F46">
        <w:trPr>
          <w:trHeight w:val="942"/>
        </w:trPr>
        <w:tc>
          <w:tcPr>
            <w:tcW w:w="3256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sz w:val="16"/>
                <w:szCs w:val="16"/>
              </w:rPr>
              <w:t>Secretaría de Agricultura y Desarrollo Rural</w:t>
            </w:r>
          </w:p>
        </w:tc>
        <w:tc>
          <w:tcPr>
            <w:tcW w:w="4961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>Restauración de la caficultura en el Departamento Norte de Santander.</w:t>
            </w:r>
          </w:p>
        </w:tc>
      </w:tr>
      <w:tr w:rsidR="00C21727" w:rsidRPr="00C17C5D" w:rsidTr="002F3F46">
        <w:trPr>
          <w:trHeight w:val="1427"/>
        </w:trPr>
        <w:tc>
          <w:tcPr>
            <w:tcW w:w="3256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sz w:val="16"/>
                <w:szCs w:val="16"/>
              </w:rPr>
              <w:t>Secretaría de Gestión Minero energética Sostenible</w:t>
            </w:r>
          </w:p>
        </w:tc>
        <w:tc>
          <w:tcPr>
            <w:tcW w:w="4961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>Implementación de Inventario Documental- FUID para un manejo eficiente del archivo histórico de la SGMES</w:t>
            </w:r>
          </w:p>
        </w:tc>
      </w:tr>
      <w:tr w:rsidR="00C21727" w:rsidRPr="00C17C5D" w:rsidTr="002F3F46">
        <w:trPr>
          <w:trHeight w:val="2022"/>
        </w:trPr>
        <w:tc>
          <w:tcPr>
            <w:tcW w:w="3256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C5D">
              <w:rPr>
                <w:rFonts w:ascii="Arial" w:hAnsi="Arial" w:cs="Arial"/>
                <w:sz w:val="16"/>
                <w:szCs w:val="16"/>
              </w:rPr>
              <w:t xml:space="preserve">Secretaría de Desarrollo Social </w:t>
            </w:r>
          </w:p>
        </w:tc>
        <w:tc>
          <w:tcPr>
            <w:tcW w:w="4961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i/>
                <w:sz w:val="16"/>
                <w:szCs w:val="16"/>
              </w:rPr>
              <w:t>Cualificación del proceso de asistencia técnica a centros de bienestar del adulto mayor para la intervención del psicosocial de la Secretaría de Desarrollo Social</w:t>
            </w:r>
            <w:r w:rsidRPr="00C17C5D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</w:tr>
      <w:tr w:rsidR="00C21727" w:rsidRPr="00C17C5D" w:rsidTr="002F3F46">
        <w:trPr>
          <w:trHeight w:val="996"/>
        </w:trPr>
        <w:tc>
          <w:tcPr>
            <w:tcW w:w="3256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sz w:val="16"/>
                <w:szCs w:val="16"/>
              </w:rPr>
              <w:t>Secretaría de Agua Potable y Saneamiento Básico</w:t>
            </w:r>
          </w:p>
        </w:tc>
        <w:tc>
          <w:tcPr>
            <w:tcW w:w="4961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>PLAN DE GESTIÓN SOCIAL</w:t>
            </w:r>
          </w:p>
        </w:tc>
      </w:tr>
      <w:tr w:rsidR="00C21727" w:rsidRPr="00C17C5D" w:rsidTr="002F3F46">
        <w:trPr>
          <w:trHeight w:val="1744"/>
        </w:trPr>
        <w:tc>
          <w:tcPr>
            <w:tcW w:w="3256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sz w:val="16"/>
                <w:szCs w:val="16"/>
              </w:rPr>
              <w:t>Secretaría de</w:t>
            </w: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 xml:space="preserve"> Hacienda</w:t>
            </w:r>
          </w:p>
        </w:tc>
        <w:tc>
          <w:tcPr>
            <w:tcW w:w="4961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Política “Estado Simple, Colombia Ágil’ en relación con la política de racionalización de trámites.</w:t>
            </w:r>
          </w:p>
        </w:tc>
      </w:tr>
      <w:tr w:rsidR="00C21727" w:rsidRPr="00C17C5D" w:rsidTr="002F3F46">
        <w:trPr>
          <w:trHeight w:val="1554"/>
        </w:trPr>
        <w:tc>
          <w:tcPr>
            <w:tcW w:w="3256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sz w:val="16"/>
                <w:szCs w:val="16"/>
              </w:rPr>
              <w:t>Secretaría de Desarrollo Económico</w:t>
            </w:r>
          </w:p>
        </w:tc>
        <w:tc>
          <w:tcPr>
            <w:tcW w:w="4961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>Cualificación del proceso de asistencia técnica a municipios para la intervención del Equipo Psicosocial de la Secretaría de Desarrollo Social.</w:t>
            </w:r>
          </w:p>
        </w:tc>
      </w:tr>
      <w:tr w:rsidR="00C21727" w:rsidRPr="00C17C5D" w:rsidTr="002F3F46">
        <w:trPr>
          <w:trHeight w:val="400"/>
        </w:trPr>
        <w:tc>
          <w:tcPr>
            <w:tcW w:w="3256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sz w:val="16"/>
                <w:szCs w:val="16"/>
              </w:rPr>
              <w:t>Secretaría de</w:t>
            </w: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 xml:space="preserve"> Educación</w:t>
            </w:r>
          </w:p>
        </w:tc>
        <w:tc>
          <w:tcPr>
            <w:tcW w:w="4961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eastAsia="Arial" w:hAnsi="Arial" w:cs="Arial"/>
                <w:color w:val="000000"/>
                <w:sz w:val="16"/>
                <w:szCs w:val="16"/>
              </w:rPr>
              <w:t>Territorio, Memoria y Convivencia</w:t>
            </w:r>
          </w:p>
        </w:tc>
      </w:tr>
      <w:tr w:rsidR="00C21727" w:rsidRPr="00C17C5D" w:rsidTr="002F3F46">
        <w:trPr>
          <w:trHeight w:val="437"/>
        </w:trPr>
        <w:tc>
          <w:tcPr>
            <w:tcW w:w="3256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sz w:val="16"/>
                <w:szCs w:val="16"/>
              </w:rPr>
              <w:t>Secretaría</w:t>
            </w: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 xml:space="preserve"> General-Talento Humano</w:t>
            </w:r>
          </w:p>
        </w:tc>
        <w:tc>
          <w:tcPr>
            <w:tcW w:w="4961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>Foro de salud mental</w:t>
            </w:r>
          </w:p>
        </w:tc>
      </w:tr>
      <w:tr w:rsidR="00C21727" w:rsidRPr="00C17C5D" w:rsidTr="002F3F46">
        <w:trPr>
          <w:trHeight w:val="2252"/>
        </w:trPr>
        <w:tc>
          <w:tcPr>
            <w:tcW w:w="3256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C5D">
              <w:rPr>
                <w:rFonts w:ascii="Arial" w:hAnsi="Arial" w:cs="Arial"/>
                <w:sz w:val="16"/>
                <w:szCs w:val="16"/>
              </w:rPr>
              <w:t xml:space="preserve">Secretaría de Medio Ambiente, Recursos Naturales y Sostenibilidad. </w:t>
            </w:r>
          </w:p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>1 (Anderson)</w:t>
            </w:r>
          </w:p>
        </w:tc>
        <w:tc>
          <w:tcPr>
            <w:tcW w:w="4961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 xml:space="preserve">HECTAREAS ADQUIRIDAS PARA LA CONSERVACION DEL RECURSO HIDRICO, Y PROTECCION DE PARAMOS Y PARQUES NATURALES EN EL DEPARTAMENTO. </w:t>
            </w:r>
          </w:p>
        </w:tc>
      </w:tr>
      <w:tr w:rsidR="00C21727" w:rsidRPr="00C17C5D" w:rsidTr="002F3F46">
        <w:trPr>
          <w:trHeight w:val="980"/>
        </w:trPr>
        <w:tc>
          <w:tcPr>
            <w:tcW w:w="3256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C5D">
              <w:rPr>
                <w:rFonts w:ascii="Arial" w:hAnsi="Arial" w:cs="Arial"/>
                <w:sz w:val="16"/>
                <w:szCs w:val="16"/>
              </w:rPr>
              <w:t xml:space="preserve">Secretaría de Medio Ambiente, Recursos Naturales y Sostenibilidad. </w:t>
            </w:r>
          </w:p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 xml:space="preserve"> 2. ( </w:t>
            </w:r>
            <w:proofErr w:type="spellStart"/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>Deivit</w:t>
            </w:r>
            <w:proofErr w:type="spellEnd"/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 xml:space="preserve"> Rojas)</w:t>
            </w:r>
          </w:p>
        </w:tc>
        <w:tc>
          <w:tcPr>
            <w:tcW w:w="4961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>GESTION INTEGRAL DE RESIDUOS SOLIDOS EN EL DPTO.</w:t>
            </w:r>
          </w:p>
        </w:tc>
      </w:tr>
      <w:tr w:rsidR="00C21727" w:rsidRPr="00C17C5D" w:rsidTr="002F3F46">
        <w:trPr>
          <w:trHeight w:val="425"/>
        </w:trPr>
        <w:tc>
          <w:tcPr>
            <w:tcW w:w="3256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sz w:val="16"/>
                <w:szCs w:val="16"/>
              </w:rPr>
              <w:t>Secretaría de transito</w:t>
            </w:r>
          </w:p>
        </w:tc>
        <w:tc>
          <w:tcPr>
            <w:tcW w:w="4961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Maneja tu vida; Rueda Seguro</w:t>
            </w:r>
          </w:p>
        </w:tc>
      </w:tr>
      <w:tr w:rsidR="00C21727" w:rsidRPr="00C17C5D" w:rsidTr="002F3F46">
        <w:trPr>
          <w:trHeight w:val="688"/>
        </w:trPr>
        <w:tc>
          <w:tcPr>
            <w:tcW w:w="3256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sz w:val="16"/>
                <w:szCs w:val="16"/>
              </w:rPr>
              <w:t>Secretaría de Desarrol</w:t>
            </w:r>
            <w:r>
              <w:rPr>
                <w:rFonts w:ascii="Arial" w:hAnsi="Arial" w:cs="Arial"/>
                <w:sz w:val="16"/>
                <w:szCs w:val="16"/>
              </w:rPr>
              <w:t>lo Económico y Productividad.</w:t>
            </w:r>
          </w:p>
        </w:tc>
        <w:tc>
          <w:tcPr>
            <w:tcW w:w="4961" w:type="dxa"/>
            <w:shd w:val="clear" w:color="auto" w:fill="auto"/>
          </w:tcPr>
          <w:p w:rsidR="00C21727" w:rsidRPr="00F42CFE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2CFE">
              <w:rPr>
                <w:rFonts w:ascii="Arial" w:hAnsi="Arial" w:cs="Arial"/>
                <w:sz w:val="16"/>
                <w:szCs w:val="16"/>
              </w:rPr>
              <w:t>Política pública de emprendimiento, innovación e internacionalización.</w:t>
            </w:r>
          </w:p>
        </w:tc>
      </w:tr>
      <w:tr w:rsidR="00C21727" w:rsidRPr="00C17C5D" w:rsidTr="002F3F46">
        <w:trPr>
          <w:trHeight w:val="407"/>
        </w:trPr>
        <w:tc>
          <w:tcPr>
            <w:tcW w:w="3256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>Despacho del Gobernador</w:t>
            </w:r>
          </w:p>
        </w:tc>
        <w:tc>
          <w:tcPr>
            <w:tcW w:w="4961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 xml:space="preserve">Diálogo social </w:t>
            </w:r>
          </w:p>
        </w:tc>
      </w:tr>
      <w:tr w:rsidR="00C21727" w:rsidRPr="00C17C5D" w:rsidTr="002F3F46">
        <w:trPr>
          <w:trHeight w:val="987"/>
        </w:trPr>
        <w:tc>
          <w:tcPr>
            <w:tcW w:w="3256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>Consejería de Agenciamiento para el Desarrollo para el Desarrollo Turístico</w:t>
            </w:r>
          </w:p>
        </w:tc>
        <w:tc>
          <w:tcPr>
            <w:tcW w:w="4961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>Medición del Índice de Competitividad Turística Regional de Norte de Santander – ICTR</w:t>
            </w:r>
          </w:p>
        </w:tc>
      </w:tr>
      <w:tr w:rsidR="00C21727" w:rsidRPr="00C17C5D" w:rsidTr="002F3F46">
        <w:trPr>
          <w:trHeight w:val="688"/>
        </w:trPr>
        <w:tc>
          <w:tcPr>
            <w:tcW w:w="3256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>Agenciamiento territorial (Alcaldes)</w:t>
            </w:r>
          </w:p>
        </w:tc>
        <w:tc>
          <w:tcPr>
            <w:tcW w:w="4961" w:type="dxa"/>
            <w:shd w:val="clear" w:color="auto" w:fill="auto"/>
          </w:tcPr>
          <w:p w:rsidR="00C21727" w:rsidRPr="00FD6C30" w:rsidRDefault="00C21727" w:rsidP="00B76A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6C30">
              <w:rPr>
                <w:rFonts w:ascii="Arial" w:hAnsi="Arial" w:cs="Arial"/>
                <w:sz w:val="16"/>
                <w:szCs w:val="16"/>
              </w:rPr>
              <w:t>ARTICULACION PERMANENTE ENTRE LAS ALCALDIAS MUNICIPALES, CON  LAS SECRETARIAS Y ENTES DESENTRALIZADOS DE LA ADMINISTRACION DEPARTAMENTAL</w:t>
            </w:r>
          </w:p>
        </w:tc>
      </w:tr>
      <w:tr w:rsidR="00C21727" w:rsidRPr="00C17C5D" w:rsidTr="002F3F46">
        <w:trPr>
          <w:trHeight w:val="688"/>
        </w:trPr>
        <w:tc>
          <w:tcPr>
            <w:tcW w:w="3256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 xml:space="preserve">Secretaría General </w:t>
            </w:r>
          </w:p>
        </w:tc>
        <w:tc>
          <w:tcPr>
            <w:tcW w:w="4961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7C5D">
              <w:rPr>
                <w:rFonts w:ascii="Arial" w:hAnsi="Arial" w:cs="Arial"/>
                <w:color w:val="000000"/>
                <w:sz w:val="16"/>
                <w:szCs w:val="16"/>
              </w:rPr>
              <w:t>Escuela de participación ciudadana</w:t>
            </w:r>
          </w:p>
        </w:tc>
      </w:tr>
      <w:tr w:rsidR="00C21727" w:rsidRPr="00C17C5D" w:rsidTr="002F3F46">
        <w:trPr>
          <w:trHeight w:val="688"/>
        </w:trPr>
        <w:tc>
          <w:tcPr>
            <w:tcW w:w="3256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:rsidR="00C21727" w:rsidRPr="00C17C5D" w:rsidRDefault="00C21727" w:rsidP="00B76A8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3FD5" w:rsidRDefault="00AE3FD5" w:rsidP="0009522A">
      <w:pPr>
        <w:pStyle w:val="NormalWeb"/>
        <w:jc w:val="both"/>
        <w:rPr>
          <w:rFonts w:cs="Arial"/>
        </w:rPr>
      </w:pPr>
    </w:p>
    <w:p w:rsidR="0058768E" w:rsidRDefault="0058768E" w:rsidP="0009522A">
      <w:pPr>
        <w:pStyle w:val="NormalWeb"/>
        <w:jc w:val="both"/>
        <w:rPr>
          <w:rFonts w:cs="Arial"/>
        </w:rPr>
      </w:pPr>
    </w:p>
    <w:p w:rsidR="0009522A" w:rsidRDefault="0009522A" w:rsidP="0009522A">
      <w:pPr>
        <w:pStyle w:val="NormalWeb"/>
        <w:jc w:val="both"/>
        <w:rPr>
          <w:rFonts w:cs="Arial"/>
        </w:rPr>
      </w:pPr>
    </w:p>
    <w:p w:rsidR="0009522A" w:rsidRDefault="0009522A" w:rsidP="0009522A">
      <w:pPr>
        <w:pStyle w:val="NormalWeb"/>
        <w:jc w:val="both"/>
        <w:rPr>
          <w:rFonts w:cs="Arial"/>
        </w:rPr>
      </w:pPr>
    </w:p>
    <w:p w:rsidR="0009522A" w:rsidRDefault="0009522A" w:rsidP="0009522A">
      <w:pPr>
        <w:pStyle w:val="NormalWeb"/>
        <w:jc w:val="both"/>
        <w:rPr>
          <w:rFonts w:cs="Arial"/>
        </w:rPr>
      </w:pPr>
    </w:p>
    <w:p w:rsidR="0009522A" w:rsidRPr="0044348C" w:rsidRDefault="0009522A" w:rsidP="0009522A">
      <w:pPr>
        <w:pStyle w:val="NormalWeb"/>
        <w:jc w:val="both"/>
      </w:pPr>
    </w:p>
    <w:p w:rsidR="00E96AA6" w:rsidRPr="0044348C" w:rsidRDefault="00E96AA6" w:rsidP="0044348C">
      <w:pPr>
        <w:jc w:val="both"/>
        <w:rPr>
          <w:sz w:val="24"/>
          <w:szCs w:val="24"/>
        </w:rPr>
      </w:pPr>
    </w:p>
    <w:sectPr w:rsidR="00E96AA6" w:rsidRPr="0044348C" w:rsidSect="00E2487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862" w:rsidRDefault="002B6862" w:rsidP="00E96AA6">
      <w:pPr>
        <w:spacing w:after="0" w:line="240" w:lineRule="auto"/>
      </w:pPr>
      <w:r>
        <w:separator/>
      </w:r>
    </w:p>
  </w:endnote>
  <w:endnote w:type="continuationSeparator" w:id="0">
    <w:p w:rsidR="002B6862" w:rsidRDefault="002B6862" w:rsidP="00E9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8E" w:rsidRDefault="0058768E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-671830</wp:posOffset>
          </wp:positionV>
          <wp:extent cx="7376548" cy="1220005"/>
          <wp:effectExtent l="0" t="0" r="0" b="0"/>
          <wp:wrapNone/>
          <wp:docPr id="36" name="Imagen 36" descr="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548" cy="1220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862" w:rsidRDefault="002B6862" w:rsidP="00E96AA6">
      <w:pPr>
        <w:spacing w:after="0" w:line="240" w:lineRule="auto"/>
      </w:pPr>
      <w:r>
        <w:separator/>
      </w:r>
    </w:p>
  </w:footnote>
  <w:footnote w:type="continuationSeparator" w:id="0">
    <w:p w:rsidR="002B6862" w:rsidRDefault="002B6862" w:rsidP="00E9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A6" w:rsidRDefault="00E96AA6">
    <w:pPr>
      <w:pStyle w:val="Encabezado"/>
    </w:pPr>
    <w:r w:rsidRPr="00836C41"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4314825</wp:posOffset>
          </wp:positionH>
          <wp:positionV relativeFrom="paragraph">
            <wp:posOffset>-286385</wp:posOffset>
          </wp:positionV>
          <wp:extent cx="2056130" cy="1125220"/>
          <wp:effectExtent l="0" t="0" r="0" b="0"/>
          <wp:wrapNone/>
          <wp:docPr id="34" name="Imagen 34" descr="Secretaría 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cretaría Gene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CFB"/>
    <w:rsid w:val="0009522A"/>
    <w:rsid w:val="0013579C"/>
    <w:rsid w:val="002B6862"/>
    <w:rsid w:val="002F3F46"/>
    <w:rsid w:val="003132E2"/>
    <w:rsid w:val="0044348C"/>
    <w:rsid w:val="0058768E"/>
    <w:rsid w:val="00641CFB"/>
    <w:rsid w:val="0086539A"/>
    <w:rsid w:val="009D4C51"/>
    <w:rsid w:val="00AE3FD5"/>
    <w:rsid w:val="00C21727"/>
    <w:rsid w:val="00C66AB5"/>
    <w:rsid w:val="00D805D0"/>
    <w:rsid w:val="00D8777E"/>
    <w:rsid w:val="00E2487A"/>
    <w:rsid w:val="00E83FC6"/>
    <w:rsid w:val="00E9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AA6"/>
  </w:style>
  <w:style w:type="paragraph" w:styleId="Piedepgina">
    <w:name w:val="footer"/>
    <w:basedOn w:val="Normal"/>
    <w:link w:val="PiedepginaCar"/>
    <w:uiPriority w:val="99"/>
    <w:unhideWhenUsed/>
    <w:rsid w:val="00E96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A6"/>
  </w:style>
  <w:style w:type="paragraph" w:styleId="NormalWeb">
    <w:name w:val="Normal (Web)"/>
    <w:basedOn w:val="Normal"/>
    <w:uiPriority w:val="99"/>
    <w:unhideWhenUsed/>
    <w:rsid w:val="0044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Funcionario</cp:lastModifiedBy>
  <cp:revision>3</cp:revision>
  <cp:lastPrinted>2022-12-07T22:02:00Z</cp:lastPrinted>
  <dcterms:created xsi:type="dcterms:W3CDTF">2022-12-13T20:42:00Z</dcterms:created>
  <dcterms:modified xsi:type="dcterms:W3CDTF">2022-12-13T20:44:00Z</dcterms:modified>
</cp:coreProperties>
</file>