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1941"/>
        <w:gridCol w:w="7458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>DOCUMEN</w:t>
            </w:r>
            <w:bookmarkStart w:id="0" w:name="_GoBack"/>
            <w:bookmarkEnd w:id="0"/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0B44B04B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24209BBB" w14:textId="77777777" w:rsidR="00FD7918" w:rsidRDefault="007B677A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GOBERNACION DE NORTE DE SANTANDER-SECRETARIA DE GESTION MINERO ENERGETICA SOSTENIBLE.</w:t>
            </w:r>
          </w:p>
          <w:p w14:paraId="616663DA" w14:textId="2A19355B" w:rsidR="00D17FD4" w:rsidRPr="00484031" w:rsidRDefault="00D17FD4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211AC88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F71F6B0" w14:textId="7AF5E3AC" w:rsidR="00FD7918" w:rsidRPr="00484031" w:rsidRDefault="00C60EA3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MARIA SANDRA RAMIREZ PARRA </w:t>
            </w:r>
          </w:p>
        </w:tc>
      </w:tr>
      <w:tr w:rsidR="00484031" w:rsidRPr="00484031" w14:paraId="7DB072A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55C36D5" w14:textId="3C01756D" w:rsidR="00FD7918" w:rsidRPr="00484031" w:rsidRDefault="00C60EA3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3223265363</w:t>
            </w:r>
          </w:p>
        </w:tc>
      </w:tr>
      <w:tr w:rsidR="00484031" w:rsidRPr="00484031" w14:paraId="26B3758A" w14:textId="77777777" w:rsidTr="006D2C20">
        <w:trPr>
          <w:trHeight w:val="517"/>
        </w:trPr>
        <w:tc>
          <w:tcPr>
            <w:tcW w:w="1379" w:type="pct"/>
            <w:shd w:val="clear" w:color="auto" w:fill="E7F0FE"/>
            <w:noWrap/>
            <w:vAlign w:val="center"/>
          </w:tcPr>
          <w:p w14:paraId="752B525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A040152" w14:textId="0E10401A" w:rsidR="00FD7918" w:rsidRPr="00484031" w:rsidRDefault="00C60EA3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m.ramirez</w:t>
            </w:r>
            <w:r w:rsidR="007B677A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@nortedesantander.gov.co</w:t>
            </w:r>
          </w:p>
        </w:tc>
      </w:tr>
      <w:tr w:rsidR="00484031" w:rsidRPr="00484031" w14:paraId="7CC128BB" w14:textId="77777777" w:rsidTr="006D2C20">
        <w:trPr>
          <w:trHeight w:val="425"/>
        </w:trPr>
        <w:tc>
          <w:tcPr>
            <w:tcW w:w="1379" w:type="pct"/>
            <w:shd w:val="clear" w:color="auto" w:fill="E7F0FE"/>
            <w:noWrap/>
            <w:vAlign w:val="center"/>
          </w:tcPr>
          <w:p w14:paraId="4DB1054D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3CB74136" w14:textId="77777777" w:rsidR="00D17FD4" w:rsidRDefault="00D17FD4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1EE9D652" w14:textId="0BCFC4A2" w:rsidR="00FD7918" w:rsidRDefault="007B677A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27/10/2022</w:t>
            </w:r>
          </w:p>
          <w:p w14:paraId="1B253078" w14:textId="12032D34" w:rsidR="00D17FD4" w:rsidRPr="00484031" w:rsidRDefault="00D17FD4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484031" w:rsidRPr="00484031" w14:paraId="5E0CB78B" w14:textId="77777777" w:rsidTr="006D2C20">
        <w:trPr>
          <w:trHeight w:val="1410"/>
        </w:trPr>
        <w:tc>
          <w:tcPr>
            <w:tcW w:w="1379" w:type="pct"/>
            <w:shd w:val="clear" w:color="auto" w:fill="E7F0FE"/>
            <w:noWrap/>
            <w:vAlign w:val="center"/>
          </w:tcPr>
          <w:p w14:paraId="438630FB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0E11DB0A" w14:textId="4584F790" w:rsidR="00FD7918" w:rsidRPr="00484031" w:rsidRDefault="007B677A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C60EA3">
              <w:rPr>
                <w:rFonts w:ascii="Arial" w:hAnsi="Arial" w:cs="Arial"/>
                <w:sz w:val="20"/>
                <w:szCs w:val="20"/>
              </w:rPr>
              <w:t>Implementación de Inventario Documental- FUID para un manejo eficiente del archivo histórico de la SGMES</w:t>
            </w:r>
          </w:p>
        </w:tc>
      </w:tr>
      <w:tr w:rsidR="00484031" w:rsidRPr="00484031" w14:paraId="55C16C87" w14:textId="77777777" w:rsidTr="006D2C20">
        <w:trPr>
          <w:trHeight w:val="983"/>
        </w:trPr>
        <w:tc>
          <w:tcPr>
            <w:tcW w:w="1379" w:type="pct"/>
            <w:shd w:val="clear" w:color="auto" w:fill="E7F0FE"/>
            <w:vAlign w:val="center"/>
          </w:tcPr>
          <w:p w14:paraId="28EA3015" w14:textId="77777777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21" w:type="pct"/>
            <w:gridSpan w:val="2"/>
            <w:shd w:val="clear" w:color="auto" w:fill="auto"/>
          </w:tcPr>
          <w:p w14:paraId="3B434E46" w14:textId="77777777" w:rsidR="00FD7918" w:rsidRPr="00484031" w:rsidRDefault="00FD7918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6FDA5CE" w14:textId="2D354B4D" w:rsidR="007668A4" w:rsidRDefault="006078C9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Sistema de </w:t>
            </w:r>
            <w:r w:rsidR="00684C07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Gestión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Documental </w:t>
            </w:r>
          </w:p>
          <w:p w14:paraId="201EB98F" w14:textId="452C13BA" w:rsidR="007B677A" w:rsidRPr="00484031" w:rsidRDefault="007B677A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>Describa la situación o experiencia</w:t>
            </w:r>
          </w:p>
        </w:tc>
      </w:tr>
      <w:tr w:rsidR="00484031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449D83C6" w:rsidR="00FD7918" w:rsidRPr="00484031" w:rsidRDefault="006C3997" w:rsidP="006C39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6C39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realiza el inventario en físico y digital empleando el formato único de inventario documental – FIUD, luego se envía al encargado de inventarios del archivo central de la gobernación, el cual revisa y solicita ajustes si es necesario, una vez aprobado el formato se procede a realizar el retiro físico de la documentación, de la dependencia, lo cual permite tener espacio físico libre y una trazabilidad adecuada del archivo histórico de la SGMES.</w:t>
            </w:r>
          </w:p>
        </w:tc>
      </w:tr>
      <w:tr w:rsidR="00484031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484031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7A7E2C" w:rsidRPr="00484031" w:rsidRDefault="007A7E2C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F7FE555" w14:textId="44C4D9B9" w:rsidR="00FD7918" w:rsidRPr="00484031" w:rsidRDefault="006C3997" w:rsidP="007A7E2C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El impacto es positivo, ya que la información es organizada y almacenada adecuadamente, permitiendo la trazabilidad de la misma, para posteriores consultas internas o externas realizadas por entes de control. </w:t>
            </w:r>
            <w:r w:rsidR="007A7E2C"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484031" w:rsidRPr="00484031" w14:paraId="64D0045E" w14:textId="77777777" w:rsidTr="006D2C20">
        <w:trPr>
          <w:trHeight w:val="93"/>
        </w:trPr>
        <w:tc>
          <w:tcPr>
            <w:tcW w:w="2109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FA0380" w:rsidRPr="00484031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318C0CB3" w14:textId="641D5639" w:rsidR="00FA0380" w:rsidRPr="00484031" w:rsidRDefault="00684C07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Liberación</w:t>
            </w:r>
            <w:r w:rsidR="007B677A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espacio físico en la secretaria</w:t>
            </w:r>
            <w:r w:rsidR="009B0BAC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.</w:t>
            </w:r>
          </w:p>
        </w:tc>
      </w:tr>
      <w:tr w:rsidR="00484031" w:rsidRPr="00484031" w14:paraId="46420BC5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1B448615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2ED897BD" w14:textId="5481C516" w:rsidR="00FA0380" w:rsidRPr="00484031" w:rsidRDefault="007B677A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Trazabilidad de la documentación generada en el archivo histórico</w:t>
            </w:r>
            <w:r w:rsidR="009B0BAC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.</w:t>
            </w:r>
          </w:p>
        </w:tc>
      </w:tr>
      <w:tr w:rsidR="00484031" w:rsidRPr="00484031" w14:paraId="35D13CCF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6ECA63CC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65638424" w14:textId="5B5CD946" w:rsidR="00FA0380" w:rsidRPr="00484031" w:rsidRDefault="007B677A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Almacenamiento adecuado de la documentación.  </w:t>
            </w:r>
          </w:p>
        </w:tc>
      </w:tr>
      <w:tr w:rsidR="00484031" w:rsidRPr="00484031" w14:paraId="02152CF6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3716A1F9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7A509FF3" w14:textId="1172CAEA" w:rsidR="00FA0380" w:rsidRPr="00484031" w:rsidRDefault="007B677A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Consultas o requerimientos internas y externas eficaces</w:t>
            </w:r>
            <w:r w:rsidR="009B0BAC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.</w:t>
            </w:r>
          </w:p>
        </w:tc>
      </w:tr>
      <w:tr w:rsidR="00484031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484031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64978EE4" w:rsidR="000D67A6" w:rsidRPr="00484031" w:rsidRDefault="007B677A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7B677A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Al tener la documentación histórica de archivo, inventariada, permite una adecuada y eficiente consulta, igualmente al realizar el envío de la documentación física al área de archivo central, permite conservar adecuadamente la información generada en la secretaría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, para posteriores consultas al tener la trazabilidad de la documentación, esta se realizaría en mejor tiempo lo cual </w:t>
            </w:r>
            <w:r w:rsidR="00684C07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sería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una </w:t>
            </w:r>
            <w:r w:rsidR="00684C07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práctica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eficiente. </w:t>
            </w:r>
          </w:p>
        </w:tc>
      </w:tr>
      <w:tr w:rsidR="00484031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484031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18873FC2" w:rsidR="00FD7918" w:rsidRPr="00484031" w:rsidRDefault="007B677A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Implementar la digitalización de los documentos, ya que permite una consulta rápida de la documentación y a su vez no alterar el archivo </w:t>
            </w:r>
            <w:r w:rsidR="00684C07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físico almacenado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en el archivo central de la </w:t>
            </w:r>
            <w:r w:rsidR="00684C07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Gobernación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484031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F330EF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¿Cómo área/entidad autoriza que la información contenida en este formato pueda ser compartida con otras áreas y/o entidades</w:t>
            </w:r>
            <w:r w:rsidR="00485F15"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para efectos de gestionar el conocimiento y los aprendizajes</w:t>
            </w: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?  </w:t>
            </w:r>
          </w:p>
          <w:p w14:paraId="35E3377E" w14:textId="1CED7173" w:rsidR="00FD7918" w:rsidRPr="008C21EA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="00485F1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>Sí</w:t>
            </w:r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8C9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D5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1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sectPr w:rsidR="006B53CD" w:rsidRPr="00341DC1" w:rsidSect="00C6004D">
      <w:headerReference w:type="even" r:id="rId10"/>
      <w:footerReference w:type="default" r:id="rId11"/>
      <w:head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DEBA" w14:textId="77777777" w:rsidR="007A038E" w:rsidRDefault="007A038E" w:rsidP="008B6AD0">
      <w:pPr>
        <w:spacing w:after="0" w:line="240" w:lineRule="auto"/>
      </w:pPr>
      <w:r>
        <w:separator/>
      </w:r>
    </w:p>
  </w:endnote>
  <w:endnote w:type="continuationSeparator" w:id="0">
    <w:p w14:paraId="59BA8816" w14:textId="77777777" w:rsidR="007A038E" w:rsidRDefault="007A038E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BBD32" w14:textId="77777777" w:rsidR="007A038E" w:rsidRDefault="007A038E" w:rsidP="008B6AD0">
      <w:pPr>
        <w:spacing w:after="0" w:line="240" w:lineRule="auto"/>
      </w:pPr>
      <w:r>
        <w:separator/>
      </w:r>
    </w:p>
  </w:footnote>
  <w:footnote w:type="continuationSeparator" w:id="0">
    <w:p w14:paraId="06597E6C" w14:textId="77777777" w:rsidR="007A038E" w:rsidRDefault="007A038E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Knowledge</w:t>
      </w:r>
      <w:proofErr w:type="spell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and 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Learning</w:t>
      </w:r>
      <w:proofErr w:type="spell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Sector (KNL), 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Knowledge</w:t>
      </w:r>
      <w:proofErr w:type="spell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Management 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Division</w:t>
      </w:r>
      <w:proofErr w:type="spell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7A038E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7A038E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8312E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A0CF4"/>
    <w:rsid w:val="001E49A1"/>
    <w:rsid w:val="001F07AE"/>
    <w:rsid w:val="001F17FC"/>
    <w:rsid w:val="00211719"/>
    <w:rsid w:val="00213E96"/>
    <w:rsid w:val="002149D5"/>
    <w:rsid w:val="00223DCB"/>
    <w:rsid w:val="002464F5"/>
    <w:rsid w:val="00284A2E"/>
    <w:rsid w:val="002909D2"/>
    <w:rsid w:val="00290E84"/>
    <w:rsid w:val="002A4810"/>
    <w:rsid w:val="002C3B11"/>
    <w:rsid w:val="002D4CBB"/>
    <w:rsid w:val="002D61D0"/>
    <w:rsid w:val="002E424F"/>
    <w:rsid w:val="00306698"/>
    <w:rsid w:val="003237BD"/>
    <w:rsid w:val="003309C9"/>
    <w:rsid w:val="00333788"/>
    <w:rsid w:val="00341DC1"/>
    <w:rsid w:val="0034596F"/>
    <w:rsid w:val="00367B0E"/>
    <w:rsid w:val="00392543"/>
    <w:rsid w:val="003B4A3A"/>
    <w:rsid w:val="004073E8"/>
    <w:rsid w:val="00407928"/>
    <w:rsid w:val="00426AAC"/>
    <w:rsid w:val="004420AD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2274D"/>
    <w:rsid w:val="00531DE8"/>
    <w:rsid w:val="00543519"/>
    <w:rsid w:val="00583B1F"/>
    <w:rsid w:val="00584A68"/>
    <w:rsid w:val="005A239D"/>
    <w:rsid w:val="005A601D"/>
    <w:rsid w:val="005D1E3E"/>
    <w:rsid w:val="005D4001"/>
    <w:rsid w:val="005E558C"/>
    <w:rsid w:val="00602070"/>
    <w:rsid w:val="006078C9"/>
    <w:rsid w:val="00610947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84C07"/>
    <w:rsid w:val="006A4BEA"/>
    <w:rsid w:val="006A779C"/>
    <w:rsid w:val="006B53CD"/>
    <w:rsid w:val="006B75F6"/>
    <w:rsid w:val="006B7848"/>
    <w:rsid w:val="006C3997"/>
    <w:rsid w:val="006D1DC7"/>
    <w:rsid w:val="006D2C20"/>
    <w:rsid w:val="006D6A8D"/>
    <w:rsid w:val="006F3F53"/>
    <w:rsid w:val="006F78D4"/>
    <w:rsid w:val="00706B4C"/>
    <w:rsid w:val="00720750"/>
    <w:rsid w:val="007276F0"/>
    <w:rsid w:val="00727BEF"/>
    <w:rsid w:val="00742726"/>
    <w:rsid w:val="007443C5"/>
    <w:rsid w:val="00754409"/>
    <w:rsid w:val="007668A4"/>
    <w:rsid w:val="007879C5"/>
    <w:rsid w:val="007A038E"/>
    <w:rsid w:val="007A7E2C"/>
    <w:rsid w:val="007B677A"/>
    <w:rsid w:val="007D5E1D"/>
    <w:rsid w:val="007E1772"/>
    <w:rsid w:val="007E4F3D"/>
    <w:rsid w:val="007F2BC7"/>
    <w:rsid w:val="00803DE5"/>
    <w:rsid w:val="00812424"/>
    <w:rsid w:val="0083059D"/>
    <w:rsid w:val="00840DE2"/>
    <w:rsid w:val="008621C6"/>
    <w:rsid w:val="008750A2"/>
    <w:rsid w:val="00875873"/>
    <w:rsid w:val="008B6AD0"/>
    <w:rsid w:val="008B7DA4"/>
    <w:rsid w:val="008C21EA"/>
    <w:rsid w:val="008C5900"/>
    <w:rsid w:val="008D2E99"/>
    <w:rsid w:val="008F25D7"/>
    <w:rsid w:val="0090046D"/>
    <w:rsid w:val="00903EBF"/>
    <w:rsid w:val="00907EB9"/>
    <w:rsid w:val="00934CAA"/>
    <w:rsid w:val="0094502B"/>
    <w:rsid w:val="00955E8C"/>
    <w:rsid w:val="00974C0D"/>
    <w:rsid w:val="009773A5"/>
    <w:rsid w:val="00991FF8"/>
    <w:rsid w:val="009A6A6E"/>
    <w:rsid w:val="009B0BAC"/>
    <w:rsid w:val="00A1703F"/>
    <w:rsid w:val="00A27635"/>
    <w:rsid w:val="00A50B66"/>
    <w:rsid w:val="00A702E3"/>
    <w:rsid w:val="00A71C91"/>
    <w:rsid w:val="00A9095F"/>
    <w:rsid w:val="00AA0D77"/>
    <w:rsid w:val="00AA6ECF"/>
    <w:rsid w:val="00AB674E"/>
    <w:rsid w:val="00AE05A1"/>
    <w:rsid w:val="00AF4A81"/>
    <w:rsid w:val="00B03977"/>
    <w:rsid w:val="00B33C77"/>
    <w:rsid w:val="00B42131"/>
    <w:rsid w:val="00B50DD3"/>
    <w:rsid w:val="00B840B4"/>
    <w:rsid w:val="00B91B2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60EA3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17FD4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42987"/>
    <w:rsid w:val="00F54973"/>
    <w:rsid w:val="00F84512"/>
    <w:rsid w:val="00FA0380"/>
    <w:rsid w:val="00FA74F8"/>
    <w:rsid w:val="00FB11F3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18C0C-F589-4BEA-9A83-A1BFBD1B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Usuario de Windows</cp:lastModifiedBy>
  <cp:revision>2</cp:revision>
  <dcterms:created xsi:type="dcterms:W3CDTF">2022-11-30T16:47:00Z</dcterms:created>
  <dcterms:modified xsi:type="dcterms:W3CDTF">2022-11-30T16:47:00Z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