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84"/>
        <w:gridCol w:w="7401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bookmarkStart w:id="0" w:name="_GoBack"/>
            <w:bookmarkEnd w:id="0"/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0B44B04B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. En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el Departamento Administrativo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de </w:t>
            </w:r>
            <w:r w:rsidR="00284A2E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la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E30821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616663DA" w14:textId="6DF2894D" w:rsidR="00FD7918" w:rsidRPr="00484031" w:rsidRDefault="00E3082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Secretaria de medio ambiente, recursos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natuales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y de sostenibilidad.</w:t>
            </w:r>
          </w:p>
        </w:tc>
      </w:tr>
      <w:tr w:rsidR="00484031" w:rsidRPr="00484031" w14:paraId="6211AC88" w14:textId="77777777" w:rsidTr="00E30821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F71F6B0" w14:textId="3BEB30CF" w:rsidR="00FD7918" w:rsidRPr="00484031" w:rsidRDefault="00E3082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DEVIT ANDRES ROJAS MONSALVE</w:t>
            </w:r>
          </w:p>
        </w:tc>
      </w:tr>
      <w:tr w:rsidR="00484031" w:rsidRPr="00484031" w14:paraId="7DB072A6" w14:textId="77777777" w:rsidTr="00E30821">
        <w:trPr>
          <w:trHeight w:val="464"/>
        </w:trPr>
        <w:tc>
          <w:tcPr>
            <w:tcW w:w="1384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455C36D5" w14:textId="5D4DF657" w:rsidR="00FD7918" w:rsidRPr="00484031" w:rsidRDefault="00E30821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3102075943</w:t>
            </w:r>
          </w:p>
        </w:tc>
      </w:tr>
      <w:tr w:rsidR="00E30821" w:rsidRPr="00484031" w14:paraId="26B3758A" w14:textId="77777777" w:rsidTr="00E30821">
        <w:trPr>
          <w:trHeight w:val="517"/>
        </w:trPr>
        <w:tc>
          <w:tcPr>
            <w:tcW w:w="1384" w:type="pct"/>
            <w:shd w:val="clear" w:color="auto" w:fill="E7F0FE"/>
            <w:noWrap/>
            <w:vAlign w:val="center"/>
          </w:tcPr>
          <w:p w14:paraId="752B525F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1A040152" w14:textId="0F5155C2" w:rsidR="00E30821" w:rsidRPr="003F46AE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F46AE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es-CO"/>
              </w:rPr>
              <w:t>secambiente@nortedesantander.gov.co</w:t>
            </w:r>
          </w:p>
        </w:tc>
      </w:tr>
      <w:tr w:rsidR="00E30821" w:rsidRPr="00484031" w14:paraId="7CC128BB" w14:textId="77777777" w:rsidTr="00E30821">
        <w:trPr>
          <w:trHeight w:val="425"/>
        </w:trPr>
        <w:tc>
          <w:tcPr>
            <w:tcW w:w="1384" w:type="pct"/>
            <w:shd w:val="clear" w:color="auto" w:fill="E7F0FE"/>
            <w:noWrap/>
            <w:vAlign w:val="center"/>
          </w:tcPr>
          <w:p w14:paraId="4DB1054D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1B253078" w14:textId="72EE5739" w:rsidR="00E30821" w:rsidRPr="003F46AE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F46AE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23/11/2022</w:t>
            </w:r>
          </w:p>
        </w:tc>
      </w:tr>
      <w:tr w:rsidR="00E3082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E30821" w:rsidRPr="003F46AE" w:rsidRDefault="00E30821" w:rsidP="00E3082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6AE">
              <w:rPr>
                <w:rFonts w:ascii="Arial" w:hAnsi="Arial" w:cs="Arial"/>
                <w:b/>
                <w:bCs/>
                <w:sz w:val="20"/>
                <w:szCs w:val="20"/>
              </w:rPr>
              <w:t>Características específicas de la experiencia</w:t>
            </w:r>
          </w:p>
        </w:tc>
      </w:tr>
      <w:tr w:rsidR="00E30821" w:rsidRPr="00484031" w14:paraId="5E0CB78B" w14:textId="77777777" w:rsidTr="00E30821">
        <w:trPr>
          <w:trHeight w:val="1410"/>
        </w:trPr>
        <w:tc>
          <w:tcPr>
            <w:tcW w:w="1384" w:type="pct"/>
            <w:shd w:val="clear" w:color="auto" w:fill="E7F0FE"/>
            <w:noWrap/>
            <w:vAlign w:val="center"/>
          </w:tcPr>
          <w:p w14:paraId="438630FB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0E11DB0A" w14:textId="408BB103" w:rsidR="00E30821" w:rsidRPr="003F46AE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s-CO"/>
              </w:rPr>
            </w:pPr>
            <w:r w:rsidRPr="003F46AE">
              <w:rPr>
                <w:rFonts w:ascii="Arial" w:hAnsi="Arial" w:cs="Arial"/>
                <w:sz w:val="21"/>
                <w:szCs w:val="21"/>
              </w:rPr>
              <w:t>GESTION INTEGRAL DE RESIDUOS SOLIDOS EN EL DPTO.</w:t>
            </w:r>
          </w:p>
        </w:tc>
      </w:tr>
      <w:tr w:rsidR="00E30821" w:rsidRPr="00484031" w14:paraId="55C16C87" w14:textId="77777777" w:rsidTr="00E30821">
        <w:trPr>
          <w:trHeight w:val="983"/>
        </w:trPr>
        <w:tc>
          <w:tcPr>
            <w:tcW w:w="1384" w:type="pct"/>
            <w:shd w:val="clear" w:color="auto" w:fill="E7F0FE"/>
            <w:vAlign w:val="center"/>
          </w:tcPr>
          <w:p w14:paraId="28EA3015" w14:textId="77777777" w:rsidR="00E30821" w:rsidRPr="00CB38EC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16" w:type="pct"/>
            <w:gridSpan w:val="2"/>
            <w:shd w:val="clear" w:color="auto" w:fill="auto"/>
          </w:tcPr>
          <w:p w14:paraId="3B434E46" w14:textId="77777777" w:rsidR="00E30821" w:rsidRPr="00484031" w:rsidRDefault="00E30821" w:rsidP="00E30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2BC5BE62" w:rsidR="00E30821" w:rsidRPr="00484031" w:rsidRDefault="00E30821" w:rsidP="00E308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PLAN DE ACCION DE LA SECRETARIA MEDIO AMBIENTE, RECURSOS NATUALES Y DE SOSTENIBILIDAD.</w:t>
            </w:r>
          </w:p>
        </w:tc>
      </w:tr>
      <w:tr w:rsidR="00E3082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E3082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2D355F9F" w:rsidR="00E30821" w:rsidRPr="00484031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 xml:space="preserve">La experiencia genera fue grata, dado a que no se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tenia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algún registro de rastreo y monitoreo de la información en residuos en el Departamento N.S. para integrar las necesidades y acciones para su mitigación</w:t>
            </w:r>
            <w:r w:rsidR="001F688F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los residuos.</w:t>
            </w:r>
          </w:p>
        </w:tc>
      </w:tr>
      <w:tr w:rsidR="00E3082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E3082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E30821" w:rsidRPr="00484031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481D471" w14:textId="2E57EAD4" w:rsidR="00E30821" w:rsidRDefault="00E30821" w:rsidP="00E30821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Positivo: llevar a las comunidades la importancia del darle un buen manejo a los residuos generados, así como darles a conocer las políticas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publicas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que están establecida</w:t>
            </w:r>
            <w:r w:rsidR="001F688F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s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 para la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ciudadanania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.</w:t>
            </w:r>
          </w:p>
          <w:p w14:paraId="4F7FE555" w14:textId="14A13BBC" w:rsidR="00E30821" w:rsidRPr="00484031" w:rsidRDefault="00E30821" w:rsidP="00E30821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Negativo: La ausencia de jurídicos especializados en materia de ambiente para agilizar las alianzas y acciones </w:t>
            </w:r>
            <w:r w:rsidR="00DB789E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integradas dentro del documento de convenio.</w:t>
            </w:r>
            <w:r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E30821" w:rsidRPr="00484031" w14:paraId="64D0045E" w14:textId="77777777" w:rsidTr="00E30821">
        <w:trPr>
          <w:trHeight w:val="93"/>
        </w:trPr>
        <w:tc>
          <w:tcPr>
            <w:tcW w:w="2131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E30821" w:rsidRPr="00484031" w:rsidRDefault="00E30821" w:rsidP="00E30821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318C0CB3" w14:textId="0084DFB4" w:rsidR="00E30821" w:rsidRPr="00484031" w:rsidRDefault="00DB789E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Capacitación – Comunidad General en barrios, Entes municipales, Comunidad escolar.</w:t>
            </w:r>
          </w:p>
        </w:tc>
      </w:tr>
      <w:tr w:rsidR="00E30821" w:rsidRPr="00484031" w14:paraId="46420BC5" w14:textId="77777777" w:rsidTr="00E30821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1B448615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ED897BD" w14:textId="4B7B0FA4" w:rsidR="00E30821" w:rsidRPr="00484031" w:rsidRDefault="00DB789E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Sensibilización Comunidad General en barrios, Entes municipales, Comunidad escolar.</w:t>
            </w:r>
          </w:p>
        </w:tc>
      </w:tr>
      <w:tr w:rsidR="00E30821" w:rsidRPr="00484031" w14:paraId="35D13CCF" w14:textId="77777777" w:rsidTr="00E30821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6ECA63CC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65638424" w14:textId="22606EBA" w:rsidR="00E30821" w:rsidRPr="00484031" w:rsidRDefault="00DB789E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Caracterización de Necesidades de las organizaciones a cargo del reciclaje</w:t>
            </w:r>
          </w:p>
        </w:tc>
      </w:tr>
      <w:tr w:rsidR="00E30821" w:rsidRPr="00484031" w14:paraId="02152CF6" w14:textId="77777777" w:rsidTr="00E30821">
        <w:trPr>
          <w:trHeight w:val="93"/>
        </w:trPr>
        <w:tc>
          <w:tcPr>
            <w:tcW w:w="2131" w:type="pct"/>
            <w:gridSpan w:val="2"/>
            <w:vMerge/>
            <w:shd w:val="clear" w:color="auto" w:fill="E7F0FE"/>
            <w:vAlign w:val="center"/>
          </w:tcPr>
          <w:p w14:paraId="3716A1F9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A509FF3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3082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E3082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2154C953" w14:textId="65B43BE2" w:rsidR="00E30821" w:rsidRDefault="00DB789E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Trabajo</w:t>
            </w:r>
            <w:r w:rsidR="001F688F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y </w:t>
            </w:r>
            <w:proofErr w:type="spellStart"/>
            <w:r w:rsidR="001F688F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comuniciacion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en equipo</w:t>
            </w:r>
            <w:r w:rsidR="001F688F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para el desarrollo de actividades en campo.</w:t>
            </w:r>
          </w:p>
          <w:p w14:paraId="19E810F1" w14:textId="77777777" w:rsidR="00DB789E" w:rsidRDefault="00DB789E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Educación ambiental en residuos.</w:t>
            </w:r>
          </w:p>
          <w:p w14:paraId="0C7B6CF0" w14:textId="77777777" w:rsidR="00DB789E" w:rsidRDefault="00DB789E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Gestion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acciones </w:t>
            </w:r>
          </w:p>
          <w:p w14:paraId="156A1C95" w14:textId="0817B948" w:rsidR="00DB789E" w:rsidRPr="00484031" w:rsidRDefault="00DB789E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Organización de actividades.</w:t>
            </w:r>
          </w:p>
        </w:tc>
      </w:tr>
      <w:tr w:rsidR="00E3082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E30821" w:rsidRPr="0048403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E3082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510CD52B" w:rsidR="00E30821" w:rsidRPr="00484031" w:rsidRDefault="00DB789E" w:rsidP="00E3082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La creación de un comité en los territorios del departamento en residuos, en donde se contemple la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participacion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escu</w:t>
            </w:r>
            <w:r w:rsidR="001F688F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e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les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, colegios, presidentes de juntas, comunidad interesada, recicladoras con el fin de contemplar todas la necesidades y obtener un plan de manejo anual que contribuya al plan de desarrollo de los municipios y a las necesidades de las </w:t>
            </w:r>
            <w:proofErr w:type="spellStart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comuidades</w:t>
            </w:r>
            <w:proofErr w:type="spellEnd"/>
            <w:r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.</w:t>
            </w:r>
          </w:p>
        </w:tc>
      </w:tr>
      <w:tr w:rsidR="00E3082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E30821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14:paraId="35E3377E" w14:textId="15E95BE7" w:rsidR="00E30821" w:rsidRPr="008C21EA" w:rsidRDefault="00E30821" w:rsidP="00E3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89E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1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lastRenderedPageBreak/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1"/>
    </w:p>
    <w:sectPr w:rsidR="006B53CD" w:rsidRPr="00341DC1" w:rsidSect="00C6004D">
      <w:headerReference w:type="even" r:id="rId10"/>
      <w:footerReference w:type="default" r:id="rId11"/>
      <w:head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65A22" w14:textId="77777777" w:rsidR="000F7EFF" w:rsidRDefault="000F7EFF" w:rsidP="008B6AD0">
      <w:pPr>
        <w:spacing w:after="0" w:line="240" w:lineRule="auto"/>
      </w:pPr>
      <w:r>
        <w:separator/>
      </w:r>
    </w:p>
  </w:endnote>
  <w:endnote w:type="continuationSeparator" w:id="0">
    <w:p w14:paraId="65AADD8B" w14:textId="77777777" w:rsidR="000F7EFF" w:rsidRDefault="000F7EFF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F66C1" w14:textId="77777777" w:rsidR="000F7EFF" w:rsidRDefault="000F7EFF" w:rsidP="008B6AD0">
      <w:pPr>
        <w:spacing w:after="0" w:line="240" w:lineRule="auto"/>
      </w:pPr>
      <w:r>
        <w:separator/>
      </w:r>
    </w:p>
  </w:footnote>
  <w:footnote w:type="continuationSeparator" w:id="0">
    <w:p w14:paraId="0FCC783F" w14:textId="77777777" w:rsidR="000F7EFF" w:rsidRDefault="000F7EFF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0F7EFF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0F7EFF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9059D"/>
    <w:rsid w:val="000A1969"/>
    <w:rsid w:val="000B699B"/>
    <w:rsid w:val="000D67A6"/>
    <w:rsid w:val="000F7EFF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1F17FC"/>
    <w:rsid w:val="001F688F"/>
    <w:rsid w:val="00211719"/>
    <w:rsid w:val="00213E96"/>
    <w:rsid w:val="002149D5"/>
    <w:rsid w:val="00223DCB"/>
    <w:rsid w:val="002464F5"/>
    <w:rsid w:val="00284A2E"/>
    <w:rsid w:val="002909D2"/>
    <w:rsid w:val="00290E84"/>
    <w:rsid w:val="002A4810"/>
    <w:rsid w:val="002C3B11"/>
    <w:rsid w:val="002D4CBB"/>
    <w:rsid w:val="002E424F"/>
    <w:rsid w:val="00306698"/>
    <w:rsid w:val="003237BD"/>
    <w:rsid w:val="003309C9"/>
    <w:rsid w:val="00333788"/>
    <w:rsid w:val="00341DC1"/>
    <w:rsid w:val="0034596F"/>
    <w:rsid w:val="00367B0E"/>
    <w:rsid w:val="00392543"/>
    <w:rsid w:val="003B4A3A"/>
    <w:rsid w:val="003F46AE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155B3"/>
    <w:rsid w:val="0052274D"/>
    <w:rsid w:val="00531DE8"/>
    <w:rsid w:val="00543519"/>
    <w:rsid w:val="00583B1F"/>
    <w:rsid w:val="00584A68"/>
    <w:rsid w:val="005A239D"/>
    <w:rsid w:val="005A601D"/>
    <w:rsid w:val="005D1E3E"/>
    <w:rsid w:val="005D4001"/>
    <w:rsid w:val="005E558C"/>
    <w:rsid w:val="00602070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54409"/>
    <w:rsid w:val="007668A4"/>
    <w:rsid w:val="007879C5"/>
    <w:rsid w:val="007A7E2C"/>
    <w:rsid w:val="007E1772"/>
    <w:rsid w:val="007E4F3D"/>
    <w:rsid w:val="007F2BC7"/>
    <w:rsid w:val="00803DE5"/>
    <w:rsid w:val="00812424"/>
    <w:rsid w:val="0083059D"/>
    <w:rsid w:val="00840DE2"/>
    <w:rsid w:val="008621C6"/>
    <w:rsid w:val="008750A2"/>
    <w:rsid w:val="00875873"/>
    <w:rsid w:val="008B6AD0"/>
    <w:rsid w:val="008B7DA4"/>
    <w:rsid w:val="008C21EA"/>
    <w:rsid w:val="008C5900"/>
    <w:rsid w:val="008D2E99"/>
    <w:rsid w:val="008F25D7"/>
    <w:rsid w:val="0090046D"/>
    <w:rsid w:val="00903EBF"/>
    <w:rsid w:val="00907EB9"/>
    <w:rsid w:val="00934CAA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B674E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104C9"/>
    <w:rsid w:val="00D22614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B789E"/>
    <w:rsid w:val="00DC34CF"/>
    <w:rsid w:val="00DE4A7D"/>
    <w:rsid w:val="00DF1E69"/>
    <w:rsid w:val="00E11207"/>
    <w:rsid w:val="00E2108F"/>
    <w:rsid w:val="00E2356E"/>
    <w:rsid w:val="00E30821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1F3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9DE3A-1FEB-417E-B61E-14B0E737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Usuario de Windows</cp:lastModifiedBy>
  <cp:revision>2</cp:revision>
  <dcterms:created xsi:type="dcterms:W3CDTF">2022-11-25T21:45:00Z</dcterms:created>
  <dcterms:modified xsi:type="dcterms:W3CDTF">2022-11-25T21:45:00Z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